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C9A3" w14:textId="77777777" w:rsidR="009C4A4A" w:rsidRDefault="00D16C11">
      <w:pPr>
        <w:spacing w:after="240"/>
      </w:pPr>
      <w:r>
        <w:rPr>
          <w:noProof/>
        </w:rPr>
        <w:drawing>
          <wp:inline distT="0" distB="0" distL="0" distR="0" wp14:anchorId="5430C22A" wp14:editId="6D95991A">
            <wp:extent cx="2324100" cy="895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324100" cy="895350"/>
                    </a:xfrm>
                    <a:prstGeom prst="rect">
                      <a:avLst/>
                    </a:prstGeom>
                  </pic:spPr>
                </pic:pic>
              </a:graphicData>
            </a:graphic>
          </wp:inline>
        </w:drawing>
      </w:r>
    </w:p>
    <w:p w14:paraId="2EFF2C49" w14:textId="0A07769D" w:rsidR="009C4A4A" w:rsidRDefault="00EF6526">
      <w:pPr>
        <w:spacing w:after="80"/>
      </w:pPr>
      <w:r>
        <w:rPr>
          <w:b/>
          <w:bCs/>
          <w:color w:val="5A5A5A"/>
          <w:sz w:val="36"/>
          <w:szCs w:val="36"/>
        </w:rPr>
        <w:t>Zur Abgabe von</w:t>
      </w:r>
      <w:r w:rsidR="00D16C11">
        <w:rPr>
          <w:b/>
          <w:bCs/>
          <w:color w:val="5A5A5A"/>
          <w:sz w:val="36"/>
          <w:szCs w:val="36"/>
        </w:rPr>
        <w:t xml:space="preserve"> Gebeinen</w:t>
      </w:r>
      <w:r>
        <w:rPr>
          <w:b/>
          <w:bCs/>
          <w:color w:val="5A5A5A"/>
          <w:sz w:val="36"/>
          <w:szCs w:val="36"/>
        </w:rPr>
        <w:t xml:space="preserve">, die vor und </w:t>
      </w:r>
      <w:r w:rsidR="00D16C11">
        <w:rPr>
          <w:b/>
          <w:bCs/>
          <w:color w:val="5A5A5A"/>
          <w:sz w:val="36"/>
          <w:szCs w:val="36"/>
        </w:rPr>
        <w:t>nach Einführung des Schatzregals</w:t>
      </w:r>
      <w:r>
        <w:rPr>
          <w:b/>
          <w:bCs/>
          <w:color w:val="5A5A5A"/>
          <w:sz w:val="36"/>
          <w:szCs w:val="36"/>
        </w:rPr>
        <w:t xml:space="preserve"> gefunden wurden.</w:t>
      </w:r>
    </w:p>
    <w:p w14:paraId="0E52BD98" w14:textId="1EEE7285" w:rsidR="009C4A4A" w:rsidRDefault="009C4A4A">
      <w:pPr>
        <w:spacing w:after="200"/>
      </w:pPr>
    </w:p>
    <w:tbl>
      <w:tblPr>
        <w:tblW w:w="9026" w:type="dxa"/>
        <w:tblCellMar>
          <w:left w:w="10" w:type="dxa"/>
          <w:right w:w="10" w:type="dxa"/>
        </w:tblCellMar>
        <w:tblLook w:val="04A0" w:firstRow="1" w:lastRow="0" w:firstColumn="1" w:lastColumn="0" w:noHBand="0" w:noVBand="1"/>
      </w:tblPr>
      <w:tblGrid>
        <w:gridCol w:w="3009"/>
        <w:gridCol w:w="3009"/>
        <w:gridCol w:w="3008"/>
      </w:tblGrid>
      <w:tr w:rsidR="009C4A4A" w14:paraId="31B4D5A3" w14:textId="77777777">
        <w:tc>
          <w:tcPr>
            <w:tcW w:w="3009" w:type="dxa"/>
            <w:shd w:val="clear" w:color="auto" w:fill="FCCC00"/>
            <w:tcMar>
              <w:top w:w="0" w:type="dxa"/>
              <w:left w:w="0" w:type="dxa"/>
              <w:bottom w:w="0" w:type="dxa"/>
              <w:right w:w="0" w:type="dxa"/>
            </w:tcMar>
          </w:tcPr>
          <w:p w14:paraId="1740383A" w14:textId="77777777" w:rsidR="009C4A4A" w:rsidRDefault="00D16C11">
            <w:r>
              <w:rPr>
                <w:sz w:val="6"/>
                <w:szCs w:val="6"/>
              </w:rPr>
              <w:t xml:space="preserve"> </w:t>
            </w:r>
          </w:p>
        </w:tc>
        <w:tc>
          <w:tcPr>
            <w:tcW w:w="3009" w:type="dxa"/>
            <w:shd w:val="clear" w:color="auto" w:fill="E47800"/>
            <w:tcMar>
              <w:top w:w="0" w:type="dxa"/>
              <w:left w:w="0" w:type="dxa"/>
              <w:bottom w:w="0" w:type="dxa"/>
              <w:right w:w="0" w:type="dxa"/>
            </w:tcMar>
          </w:tcPr>
          <w:p w14:paraId="15B9D1E7" w14:textId="77777777" w:rsidR="009C4A4A" w:rsidRDefault="00D16C11">
            <w:r>
              <w:rPr>
                <w:sz w:val="6"/>
                <w:szCs w:val="6"/>
              </w:rPr>
              <w:t xml:space="preserve"> </w:t>
            </w:r>
          </w:p>
        </w:tc>
        <w:tc>
          <w:tcPr>
            <w:tcW w:w="3008" w:type="dxa"/>
            <w:shd w:val="clear" w:color="auto" w:fill="E43024"/>
            <w:tcMar>
              <w:top w:w="0" w:type="dxa"/>
              <w:left w:w="0" w:type="dxa"/>
              <w:bottom w:w="0" w:type="dxa"/>
              <w:right w:w="0" w:type="dxa"/>
            </w:tcMar>
          </w:tcPr>
          <w:p w14:paraId="14B653AD" w14:textId="77777777" w:rsidR="009C4A4A" w:rsidRDefault="00D16C11">
            <w:r>
              <w:rPr>
                <w:sz w:val="6"/>
                <w:szCs w:val="6"/>
              </w:rPr>
              <w:t xml:space="preserve"> </w:t>
            </w:r>
          </w:p>
        </w:tc>
      </w:tr>
    </w:tbl>
    <w:p w14:paraId="01749421" w14:textId="77777777" w:rsidR="009C4A4A" w:rsidRDefault="009C4A4A">
      <w:pPr>
        <w:spacing w:after="240"/>
      </w:pPr>
    </w:p>
    <w:p w14:paraId="70635528" w14:textId="77777777" w:rsidR="009C4A4A" w:rsidRDefault="00D16C11">
      <w:pPr>
        <w:pStyle w:val="berschrift1"/>
      </w:pPr>
      <w:r>
        <w:t>Hintergrund</w:t>
      </w:r>
    </w:p>
    <w:p w14:paraId="2DC6CEF4" w14:textId="77777777" w:rsidR="009C4A4A" w:rsidRDefault="00D16C11">
      <w:pPr>
        <w:spacing w:after="160" w:line="276" w:lineRule="auto"/>
      </w:pPr>
      <w:r>
        <w:t>In Bayern verwahrt die Staatssammlung für Anthropologie München (SAM) den überwiegenden Teil der bei archäologischen Grabungen geborgenen menschlichen Gebeine und betreut diese fachlich. Mit der Einführung des sogenannten Schatzregals zum 1. Juli 2023 (Art. 9 Bayerisches Denkmalschutzgesetz – BayDSchG) hat sich die Eigentumslage bei archäologischen Funden grundlegend geändert.</w:t>
      </w:r>
    </w:p>
    <w:p w14:paraId="3EFE298D" w14:textId="77777777" w:rsidR="009C4A4A" w:rsidRDefault="00D16C11">
      <w:pPr>
        <w:spacing w:after="160" w:line="276" w:lineRule="auto"/>
      </w:pPr>
      <w:r>
        <w:t>Vor diesem Hintergrund treten Gemeinden zunehmend mit dem Wunsch an die SAM heran, auch Gebeine zu erhalten, die bereits vor diesem Stichtag geborgen wurden. Dieses Informationsblatt fasst die maßgebliche Rechtslage zusammen und erläutert, wer über die Abgabe entscheidet und in welchen Fällen die Funde bei der SAM verbleiben.</w:t>
      </w:r>
    </w:p>
    <w:p w14:paraId="378CE7EE" w14:textId="77777777" w:rsidR="009C4A4A" w:rsidRDefault="00D16C11">
      <w:pPr>
        <w:pStyle w:val="berschrift1"/>
      </w:pPr>
      <w:r>
        <w:t>Das Schatzregal im Überblick</w:t>
      </w:r>
    </w:p>
    <w:p w14:paraId="33AA69E8" w14:textId="77777777" w:rsidR="009C4A4A" w:rsidRDefault="00D16C11">
      <w:pPr>
        <w:spacing w:after="160" w:line="276" w:lineRule="auto"/>
      </w:pPr>
      <w:r>
        <w:t>Das Schatzregal regelt das Eigentum an beweglichen Bodendenkmälern. Seit dem 1. Juli 2023 gilt:</w:t>
      </w:r>
    </w:p>
    <w:p w14:paraId="2BADB7F5" w14:textId="77777777" w:rsidR="009C4A4A" w:rsidRDefault="00D16C11">
      <w:pPr>
        <w:pStyle w:val="Listenabsatz"/>
        <w:numPr>
          <w:ilvl w:val="0"/>
          <w:numId w:val="2"/>
        </w:numPr>
        <w:spacing w:after="100" w:line="276" w:lineRule="auto"/>
      </w:pPr>
      <w:r>
        <w:t>Bewegliche Bodendenkmäler werden mit ihrer Entdeckung automatisch Eigentum des Freistaats Bayern (Art. 9 Abs. 1 BayDSchG) – unabhängig davon, ob sie bei einer Ausgrabung, einem Zufallsfund oder einer Begehung entdeckt werden.</w:t>
      </w:r>
    </w:p>
    <w:p w14:paraId="42770134" w14:textId="77777777" w:rsidR="009C4A4A" w:rsidRDefault="00D16C11">
      <w:pPr>
        <w:pStyle w:val="Listenabsatz"/>
        <w:numPr>
          <w:ilvl w:val="0"/>
          <w:numId w:val="2"/>
        </w:numPr>
        <w:spacing w:after="100" w:line="276" w:lineRule="auto"/>
      </w:pPr>
      <w:r>
        <w:t>Auf Antrag der Gemeinde des Fundorts soll das Eigentum auf diese übertragen werden, sofern eine fachgerechte Archivierung und Lagerung des gesamten Fundkomplexes durch eine fachlich besetzte Einrichtung gewährleistet ist (Art. 9 Abs. 5 BayDSchG).</w:t>
      </w:r>
    </w:p>
    <w:p w14:paraId="6A760181" w14:textId="77777777" w:rsidR="009C4A4A" w:rsidRDefault="00D16C11">
      <w:pPr>
        <w:pStyle w:val="Listenabsatz"/>
        <w:numPr>
          <w:ilvl w:val="0"/>
          <w:numId w:val="2"/>
        </w:numPr>
        <w:spacing w:after="100" w:line="276" w:lineRule="auto"/>
      </w:pPr>
      <w:r>
        <w:t>Über die Eignung und die Eigentumsübertragung entscheidet das Bayerische Landesamt für Denkmalpflege (BLfD), nicht die antragstellende Gemeinde.</w:t>
      </w:r>
    </w:p>
    <w:p w14:paraId="4C2494FE" w14:textId="77777777" w:rsidR="009C4A4A" w:rsidRDefault="00D16C11">
      <w:pPr>
        <w:pStyle w:val="berschrift1"/>
      </w:pPr>
      <w:r>
        <w:t>Der maßgebliche Stichtag: 1. Juli 2023</w:t>
      </w:r>
    </w:p>
    <w:p w14:paraId="3274BA07" w14:textId="1AF00164" w:rsidR="009C4A4A" w:rsidRDefault="00D16C11">
      <w:pPr>
        <w:spacing w:after="160" w:line="276" w:lineRule="auto"/>
      </w:pPr>
      <w:r>
        <w:t xml:space="preserve">Entscheidend ist der Zeitpunkt der Entdeckung. Das Gesetz enthält eine ausdrückliche Überleitungsvorschrift: Für Entdeckungen vor dem 1. Juli 2023 ist das Denkmalschutzgesetz in der </w:t>
      </w:r>
      <w:r w:rsidR="005E40F3">
        <w:t>bis dahin geltende Fassung</w:t>
      </w:r>
      <w:r>
        <w:t xml:space="preserve"> anzuwenden (</w:t>
      </w:r>
      <w:r>
        <w:rPr>
          <w:b/>
          <w:bCs/>
        </w:rPr>
        <w:t>Art. 9 Abs. 6 BayDSchG</w:t>
      </w:r>
      <w:r>
        <w:t>). Das Schatzregal wirkt damit nicht zurück.</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9C4A4A" w14:paraId="64C81A68" w14:textId="77777777">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848484"/>
            <w:tcMar>
              <w:top w:w="80" w:type="dxa"/>
              <w:left w:w="120" w:type="dxa"/>
              <w:bottom w:w="80" w:type="dxa"/>
              <w:right w:w="120" w:type="dxa"/>
            </w:tcMar>
          </w:tcPr>
          <w:p w14:paraId="43116BA5" w14:textId="77777777" w:rsidR="009C4A4A" w:rsidRDefault="00D16C11">
            <w:r>
              <w:rPr>
                <w:b/>
                <w:bCs/>
                <w:color w:val="FFFFFF"/>
              </w:rPr>
              <w:lastRenderedPageBreak/>
              <w:t>Zeitpunkt der Entdeckung</w:t>
            </w:r>
          </w:p>
        </w:tc>
        <w:tc>
          <w:tcPr>
            <w:tcW w:w="6226" w:type="dxa"/>
            <w:tcBorders>
              <w:top w:val="single" w:sz="1" w:space="0" w:color="CCCCCC"/>
              <w:left w:val="single" w:sz="1" w:space="0" w:color="CCCCCC"/>
              <w:bottom w:val="single" w:sz="1" w:space="0" w:color="CCCCCC"/>
              <w:right w:val="single" w:sz="1" w:space="0" w:color="CCCCCC"/>
            </w:tcBorders>
            <w:shd w:val="clear" w:color="auto" w:fill="848484"/>
            <w:tcMar>
              <w:top w:w="80" w:type="dxa"/>
              <w:left w:w="120" w:type="dxa"/>
              <w:bottom w:w="80" w:type="dxa"/>
              <w:right w:w="120" w:type="dxa"/>
            </w:tcMar>
          </w:tcPr>
          <w:p w14:paraId="0E5B6F43" w14:textId="77777777" w:rsidR="009C4A4A" w:rsidRDefault="00D16C11">
            <w:r>
              <w:rPr>
                <w:b/>
                <w:bCs/>
                <w:color w:val="FFFFFF"/>
              </w:rPr>
              <w:t>Maßgebliche Rechtslage</w:t>
            </w:r>
          </w:p>
        </w:tc>
      </w:tr>
      <w:tr w:rsidR="009C4A4A" w14:paraId="69A3F1B6"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BA9E30B" w14:textId="77777777" w:rsidR="009C4A4A" w:rsidRDefault="00D16C11">
            <w:r>
              <w:rPr>
                <w:b/>
                <w:bCs/>
              </w:rPr>
              <w:t>Ab 1. Juli 2023</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77FFF9" w14:textId="77777777" w:rsidR="009C4A4A" w:rsidRDefault="00D16C11">
            <w:r>
              <w:t>Schatzregal. Der Fund wird mit der Entdeckung Eigentum des Freistaats Bayern. Die Gemeinde des Fundorts kann beim BLfD die Eigentumsübertragung beantragen.</w:t>
            </w:r>
          </w:p>
        </w:tc>
      </w:tr>
      <w:tr w:rsidR="009C4A4A" w14:paraId="558E4A85" w14:textId="77777777">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17CAF81" w14:textId="77777777" w:rsidR="009C4A4A" w:rsidRDefault="00D16C11">
            <w:r>
              <w:rPr>
                <w:b/>
                <w:bCs/>
              </w:rPr>
              <w:t>Vor 1. Juli 2023</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65C048" w14:textId="77777777" w:rsidR="009C4A4A" w:rsidRDefault="00D16C11">
            <w:r>
              <w:t>Altrechtslage (Hadrianische Teilung, § 984 BGB). Kein automatisches Staatseigentum kraft Schatzregal. Die Eigentumsverhältnisse sind im Einzelfall festzustellen.</w:t>
            </w:r>
          </w:p>
        </w:tc>
      </w:tr>
    </w:tbl>
    <w:p w14:paraId="4ECDAB47" w14:textId="77777777" w:rsidR="009C4A4A" w:rsidRDefault="009C4A4A">
      <w:pPr>
        <w:spacing w:after="160"/>
      </w:pPr>
    </w:p>
    <w:p w14:paraId="4330B043" w14:textId="77777777" w:rsidR="009C4A4A" w:rsidRDefault="00D16C11">
      <w:pPr>
        <w:pStyle w:val="berschrift1"/>
      </w:pPr>
      <w:r>
        <w:t>Funde aus der Zeit vor dem 1. Juli 2023</w:t>
      </w:r>
    </w:p>
    <w:p w14:paraId="3DE6E2A4" w14:textId="77777777" w:rsidR="009C4A4A" w:rsidRDefault="00D16C11">
      <w:pPr>
        <w:spacing w:after="160" w:line="276" w:lineRule="auto"/>
      </w:pPr>
      <w:r>
        <w:t>Für Funde, die vor dem Stichtag entdeckt wurden, besteht kein automatischer Übertragungsanspruch der Gemeinde. Der Übertragungsmechanismus nach Art. 9 Abs. 5 BayDSchG setzt voraus, dass der Freistaat Bayern Eigentümer geworden ist. Bei Altfunden ist dies durch das Schatzregal gerade nicht der Fall; das Eigentum richtet sich nach der früheren Rechtslage und nach dem jeweils konkret dokumentierten Eigentumstitel.</w:t>
      </w:r>
    </w:p>
    <w:p w14:paraId="4B011064" w14:textId="1303EC2B" w:rsidR="006004E1" w:rsidRDefault="00D16C11" w:rsidP="006004E1">
      <w:pPr>
        <w:spacing w:after="160" w:line="276" w:lineRule="auto"/>
      </w:pPr>
      <w:r>
        <w:t>Bevor über eine Abgabe entschieden werden kann, ist daher zunächst zu klären, wem der jeweilige Fund tatsächlich gehört.</w:t>
      </w:r>
      <w:r w:rsidR="006004E1" w:rsidRPr="006004E1">
        <w:t xml:space="preserve"> </w:t>
      </w:r>
      <w:r w:rsidR="006004E1">
        <w:t xml:space="preserve">Gegen eine Herausgabe ohne vorherige Eigentumsklärung und ohne nachgewiesene Übertragung spricht u.a. ein Haftungsgesichtspunkt: Verwahrt die SAM einen Altfund lediglich treuhänderisch für einen Dritteigentümer (etwa Finder bzw. Grundstückseigentümer nach § 984 BGB oder eine ausgrabende Firma bzw. Kommune), so ist sie nicht frei, ihn an eine Gemeinde abzugeben. Sie schuldet die Herausgabe der Sache dem Eigentümer, nicht der Gemeinde. Eine Herausgabe an die unzutreffende Stelle könnte die SAM gegenüber dem wahren Eigentümer schadensersatzpflichtig machen. </w:t>
      </w:r>
    </w:p>
    <w:p w14:paraId="67E5C7A1" w14:textId="77777777" w:rsidR="009C4A4A" w:rsidRDefault="00D16C11">
      <w:pPr>
        <w:pBdr>
          <w:top w:val="single" w:sz="4" w:space="6" w:color="E47800"/>
          <w:left w:val="single" w:sz="18" w:space="8" w:color="E47800"/>
          <w:bottom w:val="single" w:sz="4" w:space="6" w:color="E47800"/>
          <w:right w:val="single" w:sz="4" w:space="6" w:color="E47800"/>
        </w:pBdr>
        <w:shd w:val="clear" w:color="auto" w:fill="FDF6EC"/>
        <w:spacing w:before="120" w:after="120" w:line="276" w:lineRule="auto"/>
      </w:pPr>
      <w:r>
        <w:rPr>
          <w:b/>
          <w:bCs/>
        </w:rPr>
        <w:t xml:space="preserve">Zuständigkeit der Gemeinde: </w:t>
      </w:r>
      <w:r>
        <w:t>Möchte eine Gemeinde Altfunde übernehmen, hat sie die erforderliche Klärung des Eigentums selbst zu veranlassen. Die SAM nimmt diese Klärung nicht für die Gemeinde vor.</w:t>
      </w:r>
    </w:p>
    <w:p w14:paraId="75286877" w14:textId="77777777" w:rsidR="009C4A4A" w:rsidRDefault="009C4A4A">
      <w:pPr>
        <w:spacing w:after="120"/>
      </w:pPr>
    </w:p>
    <w:p w14:paraId="2A3C9C89" w14:textId="77777777" w:rsidR="009C4A4A" w:rsidRDefault="00D16C11">
      <w:pPr>
        <w:spacing w:after="160" w:line="276" w:lineRule="auto"/>
      </w:pPr>
      <w:r>
        <w:t>Ergibt die Prüfung, dass der Fund nicht dem Freistaat, sondern Dritten gehört (nach der früheren Rechtslage in der Regel Finder und Grundstückseigentümer je zur Hälfte, § 984 BGB), reicht die bloße Feststellung dieser Eigentümer für eine Herausgabe an die Gemeinde nicht aus. Voraussetzung für eine Abgabe ist vielmehr, dass die Gemeinde nachweist, dass die ermittelten Eigentümer – dies können auch mehrere sein – ihr das Eigentum an den betreffenden Funden wirksam übertragen haben, etwa durch Schenkung oder eine vergleichbare Übereignung. Solange dieser Nachweis nicht vollständig vorliegt, erfolgt keine Herausgabe.</w:t>
      </w:r>
    </w:p>
    <w:p w14:paraId="352E0536" w14:textId="77777777" w:rsidR="009C4A4A" w:rsidRDefault="00D16C11">
      <w:pPr>
        <w:spacing w:after="160" w:line="276" w:lineRule="auto"/>
      </w:pPr>
      <w:r>
        <w:t xml:space="preserve">Ergibt die Prüfung eines Altfunds hingegen, dass dieser ganz oder zumindest teilweise im Eigentum des Freistaats Bayern bzw. der SAM steht – etwa weil die Grabung durch den Freistaat finanziert wurde oder das Eigentum auf anderem Wege rechtswirksam an den Freistaat übergegangen ist (z. B. durch Übereignung oder Schenkung) –, gibt die SAM diese Funde nicht ab. Die Übernahmeregelung des Art. 9 Abs. 5 BayDSchG greift in diesem Fall nicht: Sie setzt voraus, dass der Fund mit seiner Entdeckung ab dem 1. Juli 2023 über das </w:t>
      </w:r>
      <w:r>
        <w:lastRenderedPageBreak/>
        <w:t>Schatzregal Eigentum des Freistaats geworden ist. Bei bereits zuvor in staatlichem Eigentum stehenden Funden ist das nicht der Fall, sodass kein Übertragungsanspruch der Gemeinde besteht.</w:t>
      </w:r>
    </w:p>
    <w:p w14:paraId="5FB44F5C" w14:textId="54EB07E5" w:rsidR="005B7829" w:rsidRDefault="00D16C11" w:rsidP="005B7829">
      <w:pPr>
        <w:pBdr>
          <w:top w:val="single" w:sz="4" w:space="6" w:color="848484"/>
          <w:left w:val="single" w:sz="18" w:space="8" w:color="848484"/>
          <w:bottom w:val="single" w:sz="4" w:space="6" w:color="848484"/>
          <w:right w:val="single" w:sz="4" w:space="6" w:color="848484"/>
        </w:pBdr>
        <w:shd w:val="clear" w:color="auto" w:fill="F2F2F2"/>
        <w:spacing w:before="120" w:after="120" w:line="276" w:lineRule="auto"/>
      </w:pPr>
      <w:r>
        <w:rPr>
          <w:b/>
          <w:bCs/>
        </w:rPr>
        <w:t xml:space="preserve">Verbleib bei der SAM: </w:t>
      </w:r>
      <w:r>
        <w:t>Soweit Altfunde ganz oder teilweise im Eigentum des Freistaats bzw. der SAM stehen, verbleiben sie bei der SAM. Ein Anspruch der Gemeinde auf Abgabe besteht nicht, da das Eigentum nicht über das Schatzregal an die Gemeinde übergeht.</w:t>
      </w:r>
    </w:p>
    <w:p w14:paraId="42816B6B" w14:textId="77777777" w:rsidR="007950FA" w:rsidRDefault="007950FA" w:rsidP="005B7829">
      <w:pPr>
        <w:spacing w:after="160" w:line="276" w:lineRule="auto"/>
      </w:pPr>
    </w:p>
    <w:p w14:paraId="2355719D" w14:textId="25DD5E29" w:rsidR="005B7829" w:rsidRDefault="004A3B2C" w:rsidP="005B7829">
      <w:pPr>
        <w:spacing w:after="160" w:line="276" w:lineRule="auto"/>
      </w:pPr>
      <w:r>
        <w:t>Die SAM hat ein</w:t>
      </w:r>
      <w:r w:rsidR="005B7829">
        <w:t xml:space="preserve"> </w:t>
      </w:r>
      <w:r w:rsidR="007950FA">
        <w:t xml:space="preserve">generelles </w:t>
      </w:r>
      <w:r w:rsidR="005B7829">
        <w:t>gewichtiges sammlungspflegerisches und wissenschaftliches Interesse am Verbleib der Altbestände: Der Freistaat hat in Gestalt der SAM an einem erheblichen Teil dieser Funde über Jahre, vielfach über Jahrzehnte hinweg umfangreiche Aufbewahrungs-, Reinigungs-, Restaurierungs- und Forschungsarbeit geleistet. Die Bestände sind dadurch konservatorisch gesichert, inventarisiert, wissenschaftlich erschlossen und in laufende sowie abgeschlossene Forschungszusammenhänge eingebunden. Eine Herauslösung einzelner Funde aus diesen Zusammenhängen würde den wissenschaftlichen Wert der Sammlung und die Nachvollziehbarkeit bisheriger Untersuchungen beeinträchtigen. Die SAM hat daher – über die Eigentumsfrage hinaus – ein berechtigtes Interesse am Verbleib dieser Bestände, das im Rahmen der Klärung angemessen zu berücksichtigen ist.</w:t>
      </w:r>
    </w:p>
    <w:p w14:paraId="005076D7" w14:textId="77777777" w:rsidR="009C4A4A" w:rsidRDefault="009C4A4A">
      <w:pPr>
        <w:spacing w:after="120"/>
      </w:pPr>
    </w:p>
    <w:p w14:paraId="29EBC10B" w14:textId="77777777" w:rsidR="009C4A4A" w:rsidRDefault="00D16C11">
      <w:pPr>
        <w:pStyle w:val="berschrift1"/>
      </w:pPr>
      <w:r>
        <w:t>Besondere ethische und fachliche Anforderungen an menschliche Überreste</w:t>
      </w:r>
    </w:p>
    <w:p w14:paraId="5459798B" w14:textId="77777777" w:rsidR="009C4A4A" w:rsidRDefault="00D16C11">
      <w:pPr>
        <w:spacing w:after="160" w:line="276" w:lineRule="auto"/>
      </w:pPr>
      <w:r>
        <w:t>Unabhängig von der Eigentums- und Übertragungsfrage sind menschliche Skelettreste keine gewöhnlichen Sammlungsobjekte. Für ihren Umgang gelten besondere ethische und fachliche Maßstäbe, die bei jeder Entscheidung über Verbleib und Abgabe mitzubedenken sind:</w:t>
      </w:r>
    </w:p>
    <w:p w14:paraId="0798BAB7" w14:textId="77777777" w:rsidR="009C4A4A" w:rsidRDefault="00D16C11">
      <w:pPr>
        <w:pStyle w:val="Listenabsatz"/>
        <w:numPr>
          <w:ilvl w:val="0"/>
          <w:numId w:val="2"/>
        </w:numPr>
        <w:spacing w:after="100" w:line="276" w:lineRule="auto"/>
      </w:pPr>
      <w:r>
        <w:t>Würde der Verstorbenen: Menschliche Überreste sind mit Respekt zu behandeln. Aufbewahrung, Betreuung und jede Form der Nutzung müssen einem würdevollen Umgang entsprechen, wie er in den einschlägigen fachlichen Empfehlungen (u. a. Deutscher Museumsbund) niedergelegt ist.</w:t>
      </w:r>
    </w:p>
    <w:p w14:paraId="093FC391" w14:textId="77777777" w:rsidR="009C4A4A" w:rsidRDefault="00D16C11">
      <w:pPr>
        <w:pStyle w:val="Listenabsatz"/>
        <w:numPr>
          <w:ilvl w:val="0"/>
          <w:numId w:val="2"/>
        </w:numPr>
        <w:spacing w:after="100" w:line="276" w:lineRule="auto"/>
      </w:pPr>
      <w:r>
        <w:t>Fachgerechte Verwahrung: Sachgemäße Lagerung, klimatische Bedingungen, eindeutige Individuenzuordnung, Dokumentation und konservatorische Betreuung erfordern fachlich besetzte Einrichtungen. Eine Abgabe an Stellen, die diese Standards nicht dauerhaft gewährleisten, ist auch fachlich nicht vertretbar.</w:t>
      </w:r>
    </w:p>
    <w:p w14:paraId="68A75B8A" w14:textId="77777777" w:rsidR="009C4A4A" w:rsidRDefault="00D16C11">
      <w:pPr>
        <w:pStyle w:val="Listenabsatz"/>
        <w:numPr>
          <w:ilvl w:val="0"/>
          <w:numId w:val="2"/>
        </w:numPr>
        <w:spacing w:after="100" w:line="276" w:lineRule="auto"/>
      </w:pPr>
      <w:r>
        <w:t>Sensibilität der Abgabe: Das Aussondern menschlicher Überreste aus einer wissenschaftlichen Sammlung ist fachlich wie ethisch ein besonders sensibler Vorgang und darf nicht allein nach formalen oder verwaltungspraktischen Gesichtspunkten erfolgen. Mögliche Hinweise auf einen Unrechtskontext oder berechtigte Interessen Nachfahren- oder Herkunftsbezogener Stellen sind zu beachten.</w:t>
      </w:r>
    </w:p>
    <w:p w14:paraId="776FBD08" w14:textId="77777777" w:rsidR="009C4A4A" w:rsidRDefault="00D16C11">
      <w:pPr>
        <w:spacing w:after="160" w:line="276" w:lineRule="auto"/>
      </w:pPr>
      <w:r>
        <w:lastRenderedPageBreak/>
        <w:t>Diese Anforderungen bestehen zusätzlich zu den eigentumsrechtlichen Voraussetzungen. Sie sprechen dafür, menschliche Überreste nur dann und nur an solche Einrichtungen abzugeben, die eine dauerhaft fachgerechte und würdevolle Betreuung sicherstellen.</w:t>
      </w:r>
    </w:p>
    <w:p w14:paraId="14B3DE6F" w14:textId="77777777" w:rsidR="009C4A4A" w:rsidRDefault="00D16C11">
      <w:pPr>
        <w:pStyle w:val="berschrift1"/>
      </w:pPr>
      <w:r>
        <w:t>Zuständigkeiten im Überblick</w:t>
      </w:r>
    </w:p>
    <w:p w14:paraId="53690BFC" w14:textId="77777777" w:rsidR="009C4A4A" w:rsidRDefault="00D16C11">
      <w:pPr>
        <w:pStyle w:val="Listenabsatz"/>
        <w:numPr>
          <w:ilvl w:val="0"/>
          <w:numId w:val="2"/>
        </w:numPr>
        <w:spacing w:after="100" w:line="276" w:lineRule="auto"/>
      </w:pPr>
      <w:r>
        <w:t>Eigentumsübertragung bei Funden ab dem 1. Juli 2023: Antrag der Gemeinde beim BLfD; Entscheidung durch das BLfD.</w:t>
      </w:r>
    </w:p>
    <w:p w14:paraId="7FFD9D35" w14:textId="7B57E249" w:rsidR="009C4A4A" w:rsidRDefault="00D16C11">
      <w:pPr>
        <w:pStyle w:val="Listenabsatz"/>
        <w:numPr>
          <w:ilvl w:val="0"/>
          <w:numId w:val="2"/>
        </w:numPr>
        <w:spacing w:after="100" w:line="276" w:lineRule="auto"/>
      </w:pPr>
      <w:r>
        <w:t>Feststellung des Eigentums bei Altfunden (vor dem 1. Juli 2023): Sachgebiet Fundeigentum des BLfD; Veranlassung durch die Gemeinde</w:t>
      </w:r>
      <w:r w:rsidR="00A220D9">
        <w:t xml:space="preserve">, Eigentumsübertragung muss durch Gemeinde veranlasst werdne. </w:t>
      </w:r>
    </w:p>
    <w:p w14:paraId="3F84F237" w14:textId="77777777" w:rsidR="009C4A4A" w:rsidRDefault="00D16C11">
      <w:pPr>
        <w:pStyle w:val="Listenabsatz"/>
        <w:numPr>
          <w:ilvl w:val="0"/>
          <w:numId w:val="2"/>
        </w:numPr>
        <w:spacing w:after="100" w:line="276" w:lineRule="auto"/>
      </w:pPr>
      <w:r>
        <w:t>Die SAM entscheidet weder über Anträge der Gemeinden noch führt sie die Eigentumsklärung für die Gemeinden durch.</w:t>
      </w:r>
    </w:p>
    <w:p w14:paraId="6A4CFA79" w14:textId="77777777" w:rsidR="009C4A4A" w:rsidRDefault="00D16C11">
      <w:pPr>
        <w:pStyle w:val="berschrift1"/>
      </w:pPr>
      <w:r>
        <w:t>Zusammenfassung</w:t>
      </w:r>
    </w:p>
    <w:p w14:paraId="2631F3A3" w14:textId="77777777" w:rsidR="009C4A4A" w:rsidRDefault="00D16C11">
      <w:pPr>
        <w:pStyle w:val="Listenabsatz"/>
        <w:numPr>
          <w:ilvl w:val="0"/>
          <w:numId w:val="2"/>
        </w:numPr>
        <w:spacing w:after="100" w:line="276" w:lineRule="auto"/>
      </w:pPr>
      <w:r>
        <w:rPr>
          <w:b/>
          <w:bCs/>
        </w:rPr>
        <w:t>Maßgeblicher Stichtag ist der 1. Juli 2023.</w:t>
      </w:r>
    </w:p>
    <w:p w14:paraId="655C7B78" w14:textId="77777777" w:rsidR="009C4A4A" w:rsidRDefault="00D16C11">
      <w:pPr>
        <w:pStyle w:val="Listenabsatz"/>
        <w:numPr>
          <w:ilvl w:val="0"/>
          <w:numId w:val="2"/>
        </w:numPr>
        <w:spacing w:after="100" w:line="276" w:lineRule="auto"/>
      </w:pPr>
      <w:r>
        <w:t>Funde ab dem Stichtag unterfallen dem Schatzregal; die Gemeinde kann die Eigentumsübertragung beim BLfD beantragen.</w:t>
      </w:r>
    </w:p>
    <w:p w14:paraId="27F9A0D5" w14:textId="77777777" w:rsidR="009C4A4A" w:rsidRDefault="00D16C11">
      <w:pPr>
        <w:pStyle w:val="Listenabsatz"/>
        <w:numPr>
          <w:ilvl w:val="0"/>
          <w:numId w:val="2"/>
        </w:numPr>
        <w:spacing w:after="100" w:line="276" w:lineRule="auto"/>
      </w:pPr>
      <w:r>
        <w:t>Bei Funden vor dem Stichtag besteht kein automatischer Anspruch; das Eigentum ist zunächst festzustellen.</w:t>
      </w:r>
    </w:p>
    <w:p w14:paraId="2E9BD6FC" w14:textId="77777777" w:rsidR="009C4A4A" w:rsidRDefault="00D16C11">
      <w:pPr>
        <w:pStyle w:val="Listenabsatz"/>
        <w:numPr>
          <w:ilvl w:val="0"/>
          <w:numId w:val="2"/>
        </w:numPr>
        <w:spacing w:after="100" w:line="276" w:lineRule="auto"/>
      </w:pPr>
      <w:r>
        <w:t>Die Gemeinde hat die Klärung des Eigentums selbst zu veranlassen; die SAM übernimmt dies nicht.</w:t>
      </w:r>
    </w:p>
    <w:p w14:paraId="2B933F97" w14:textId="77777777" w:rsidR="009C4A4A" w:rsidRDefault="00D16C11">
      <w:pPr>
        <w:pStyle w:val="Listenabsatz"/>
        <w:numPr>
          <w:ilvl w:val="0"/>
          <w:numId w:val="2"/>
        </w:numPr>
        <w:spacing w:after="100" w:line="276" w:lineRule="auto"/>
      </w:pPr>
      <w:r>
        <w:t>Gehört ein Altfund Dritten (z. B. Finder und Grundstückseigentümer nach § 984 BGB), erfolgt eine Herausgabe an die Gemeinde nur, wenn diese nachweist, dass ihr die ermittelten Eigentümer – ggf. mehrere – das Eigentum wirksam übertragen haben (Schenkung o. Ä.).</w:t>
      </w:r>
    </w:p>
    <w:p w14:paraId="4AFB469E" w14:textId="77777777" w:rsidR="009C4A4A" w:rsidRDefault="00D16C11">
      <w:pPr>
        <w:pStyle w:val="Listenabsatz"/>
        <w:numPr>
          <w:ilvl w:val="0"/>
          <w:numId w:val="2"/>
        </w:numPr>
        <w:spacing w:after="100" w:line="276" w:lineRule="auto"/>
      </w:pPr>
      <w:r>
        <w:t>Verwahrt die SAM einen Fund nur treuhänderisch für einen Dritteigentümer, schuldet sie die Herausgabe diesem und nicht der Gemeinde; eine Abgabe an die falsche Stelle birgt ein Haftungsrisiko. Auch deshalb keine Herausgabe ohne Eigentumsklärung und Übertragungsnachweis.</w:t>
      </w:r>
    </w:p>
    <w:p w14:paraId="24D0EF2C" w14:textId="77777777" w:rsidR="009C4A4A" w:rsidRDefault="00D16C11">
      <w:pPr>
        <w:pStyle w:val="Listenabsatz"/>
        <w:numPr>
          <w:ilvl w:val="0"/>
          <w:numId w:val="2"/>
        </w:numPr>
        <w:spacing w:after="100" w:line="276" w:lineRule="auto"/>
      </w:pPr>
      <w:r>
        <w:t>An den Altbeständen hat die SAM vielfach über Jahrzehnte Aufbewahrungs-, Reinigungs-, Restaurierungs- und Forschungsarbeit geleistet; daraus folgt ein berechtigtes Interesse am Verbleib, das bei der Klärung zu berücksichtigen ist.</w:t>
      </w:r>
    </w:p>
    <w:p w14:paraId="7E74214E" w14:textId="77777777" w:rsidR="009C4A4A" w:rsidRDefault="00D16C11">
      <w:pPr>
        <w:pStyle w:val="Listenabsatz"/>
        <w:numPr>
          <w:ilvl w:val="0"/>
          <w:numId w:val="2"/>
        </w:numPr>
        <w:spacing w:after="100" w:line="276" w:lineRule="auto"/>
      </w:pPr>
      <w:r>
        <w:t>Wird bei der Prüfung eines Altfunds festgestellt, dass dieser ganz oder teilweise im Eigentum des Freistaats bzw. der SAM steht (z. B. bei vom Freistaat finanzierten Grabungen), verbleibt er bei der SAM. Die Übernahmeregelung greift hier nicht, da der Fund nicht erst über das Schatzregal in staatliches Eigentum gelangt ist.</w:t>
      </w:r>
    </w:p>
    <w:p w14:paraId="482EA1A0" w14:textId="77777777" w:rsidR="009C4A4A" w:rsidRDefault="00D16C11">
      <w:pPr>
        <w:pStyle w:val="Listenabsatz"/>
        <w:numPr>
          <w:ilvl w:val="0"/>
          <w:numId w:val="2"/>
        </w:numPr>
        <w:spacing w:after="100" w:line="276" w:lineRule="auto"/>
      </w:pPr>
      <w:r>
        <w:t>Unabhängig vom Eigentum gelten für menschliche Überreste besondere ethische und fachliche Anforderungen (Würde, fachgerechte Verwahrung, wissenschaftlicher Kontext); eine Abgabe kommt nur an Einrichtungen in Betracht, die eine dauerhaft fachgerechte und würdevolle Betreuung sicherstellen.</w:t>
      </w:r>
    </w:p>
    <w:p w14:paraId="16205B71" w14:textId="77777777" w:rsidR="00D951A6" w:rsidRDefault="00D951A6">
      <w:pPr>
        <w:pStyle w:val="berschrift1"/>
      </w:pPr>
    </w:p>
    <w:p w14:paraId="3FFB4D5E" w14:textId="26FEC034" w:rsidR="009C4A4A" w:rsidRDefault="00D16C11">
      <w:pPr>
        <w:pStyle w:val="berschrift1"/>
      </w:pPr>
      <w:r>
        <w:lastRenderedPageBreak/>
        <w:t>Rechtsgrundlage und weiterführende Informationen</w:t>
      </w:r>
    </w:p>
    <w:p w14:paraId="26D3EB9D" w14:textId="77777777" w:rsidR="009C4A4A" w:rsidRDefault="00D16C11">
      <w:pPr>
        <w:pStyle w:val="Listenabsatz"/>
        <w:numPr>
          <w:ilvl w:val="0"/>
          <w:numId w:val="2"/>
        </w:numPr>
        <w:spacing w:after="100" w:line="276" w:lineRule="auto"/>
      </w:pPr>
      <w:r>
        <w:t>Art. 9 Bayerisches Denkmalschutzgesetz (BayDSchG) – www.gesetze-bayern.de</w:t>
      </w:r>
    </w:p>
    <w:p w14:paraId="2B029F0F" w14:textId="77777777" w:rsidR="009C4A4A" w:rsidRDefault="00D16C11">
      <w:pPr>
        <w:pStyle w:val="Listenabsatz"/>
        <w:numPr>
          <w:ilvl w:val="0"/>
          <w:numId w:val="2"/>
        </w:numPr>
        <w:spacing w:after="100" w:line="276" w:lineRule="auto"/>
      </w:pPr>
      <w:r>
        <w:t>Informationen zum Schatzregal – Bayerisches Landesamt für Denkmalpflege (www.blfd.bayern.de)</w:t>
      </w:r>
    </w:p>
    <w:p w14:paraId="1E9CBEB2" w14:textId="77777777" w:rsidR="009C4A4A" w:rsidRDefault="00D16C11">
      <w:pPr>
        <w:pStyle w:val="Listenabsatz"/>
        <w:numPr>
          <w:ilvl w:val="0"/>
          <w:numId w:val="2"/>
        </w:numPr>
        <w:spacing w:after="100" w:line="276" w:lineRule="auto"/>
      </w:pPr>
      <w:r>
        <w:t>Sachgebiet Fundeigentum des BLfD: Fundeigentum@blfd.bayern.de</w:t>
      </w:r>
    </w:p>
    <w:p w14:paraId="7E4C67A3" w14:textId="77777777" w:rsidR="009C4A4A" w:rsidRDefault="00D16C11">
      <w:pPr>
        <w:pBdr>
          <w:top w:val="single" w:sz="4" w:space="6" w:color="CCCCCC"/>
        </w:pBdr>
        <w:spacing w:before="280"/>
      </w:pPr>
      <w:r>
        <w:rPr>
          <w:i/>
          <w:iCs/>
          <w:color w:val="848484"/>
          <w:sz w:val="18"/>
          <w:szCs w:val="18"/>
        </w:rPr>
        <w:t>Hinweis: Dieses Informationsblatt gibt die Rechtslage in zusammengefasster Form wieder und stellt keine rechtsverbindliche Auskunft dar. Insbesondere die Eigentumslage an Altbeständen sowie die zivilrechtliche Einordnung menschlicher Überreste sind einzelfallabhängig. In strittigen Fällen entscheidet die zuständige Behörde; bei Bedarf sind die Rechtsabteilungen von SAM/SNSB bzw. StMWK einzubinden.</w:t>
      </w:r>
    </w:p>
    <w:sectPr w:rsidR="009C4A4A">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9CAF" w14:textId="77777777" w:rsidR="0029653A" w:rsidRDefault="0029653A">
      <w:r>
        <w:separator/>
      </w:r>
    </w:p>
  </w:endnote>
  <w:endnote w:type="continuationSeparator" w:id="0">
    <w:p w14:paraId="6320767A" w14:textId="77777777" w:rsidR="0029653A" w:rsidRDefault="0029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4C88" w14:textId="77777777" w:rsidR="009C4A4A" w:rsidRDefault="00D16C11">
    <w:pPr>
      <w:jc w:val="center"/>
    </w:pPr>
    <w:r>
      <w:rPr>
        <w:color w:val="848484"/>
        <w:sz w:val="16"/>
        <w:szCs w:val="16"/>
      </w:rPr>
      <w:t xml:space="preserve">Seite </w:t>
    </w:r>
    <w:r>
      <w:rPr>
        <w:color w:val="848484"/>
        <w:sz w:val="16"/>
        <w:szCs w:val="16"/>
      </w:rPr>
      <w:fldChar w:fldCharType="begin"/>
    </w:r>
    <w:r>
      <w:rPr>
        <w:color w:val="848484"/>
        <w:sz w:val="16"/>
        <w:szCs w:val="16"/>
      </w:rPr>
      <w:instrText>PAGE</w:instrText>
    </w:r>
    <w:r>
      <w:rPr>
        <w:color w:val="848484"/>
        <w:sz w:val="16"/>
        <w:szCs w:val="16"/>
      </w:rPr>
      <w:fldChar w:fldCharType="separate"/>
    </w:r>
    <w:r>
      <w:rPr>
        <w:noProof/>
        <w:color w:val="848484"/>
        <w:sz w:val="16"/>
        <w:szCs w:val="16"/>
      </w:rPr>
      <w:t>1</w:t>
    </w:r>
    <w:r>
      <w:rPr>
        <w:color w:val="848484"/>
        <w:sz w:val="16"/>
        <w:szCs w:val="16"/>
      </w:rPr>
      <w:fldChar w:fldCharType="end"/>
    </w:r>
    <w:r>
      <w:rPr>
        <w:color w:val="848484"/>
        <w:sz w:val="16"/>
        <w:szCs w:val="16"/>
      </w:rPr>
      <w:t xml:space="preserve">  ·  Informationsblatt: Eigentum an Funden und Gebeinen nach dem Schatzregal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490A" w14:textId="77777777" w:rsidR="0029653A" w:rsidRDefault="0029653A">
      <w:r>
        <w:separator/>
      </w:r>
    </w:p>
  </w:footnote>
  <w:footnote w:type="continuationSeparator" w:id="0">
    <w:p w14:paraId="0C74AC33" w14:textId="77777777" w:rsidR="0029653A" w:rsidRDefault="00296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4FB3" w14:textId="77777777" w:rsidR="009C4A4A" w:rsidRDefault="00D16C11">
    <w:pPr>
      <w:pBdr>
        <w:bottom w:val="single" w:sz="4" w:space="4" w:color="848484"/>
      </w:pBdr>
    </w:pPr>
    <w:r>
      <w:rPr>
        <w:color w:val="848484"/>
        <w:sz w:val="16"/>
        <w:szCs w:val="16"/>
      </w:rPr>
      <w:t>Staatssammlung für Anthropologie München (SAM / SNSB)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6ED0"/>
    <w:multiLevelType w:val="hybridMultilevel"/>
    <w:tmpl w:val="C0D8BBDE"/>
    <w:lvl w:ilvl="0" w:tplc="DA22F192">
      <w:start w:val="1"/>
      <w:numFmt w:val="bullet"/>
      <w:lvlText w:val="•"/>
      <w:lvlJc w:val="left"/>
      <w:pPr>
        <w:ind w:left="720" w:hanging="360"/>
      </w:pPr>
      <w:rPr>
        <w:color w:val="E43024"/>
      </w:rPr>
    </w:lvl>
    <w:lvl w:ilvl="1" w:tplc="2A6E4CBE">
      <w:numFmt w:val="decimal"/>
      <w:lvlText w:val=""/>
      <w:lvlJc w:val="left"/>
    </w:lvl>
    <w:lvl w:ilvl="2" w:tplc="A9D84328">
      <w:numFmt w:val="decimal"/>
      <w:lvlText w:val=""/>
      <w:lvlJc w:val="left"/>
    </w:lvl>
    <w:lvl w:ilvl="3" w:tplc="CE02A338">
      <w:numFmt w:val="decimal"/>
      <w:lvlText w:val=""/>
      <w:lvlJc w:val="left"/>
    </w:lvl>
    <w:lvl w:ilvl="4" w:tplc="4524EC10">
      <w:numFmt w:val="decimal"/>
      <w:lvlText w:val=""/>
      <w:lvlJc w:val="left"/>
    </w:lvl>
    <w:lvl w:ilvl="5" w:tplc="BA9216D4">
      <w:numFmt w:val="decimal"/>
      <w:lvlText w:val=""/>
      <w:lvlJc w:val="left"/>
    </w:lvl>
    <w:lvl w:ilvl="6" w:tplc="17F6B6F0">
      <w:numFmt w:val="decimal"/>
      <w:lvlText w:val=""/>
      <w:lvlJc w:val="left"/>
    </w:lvl>
    <w:lvl w:ilvl="7" w:tplc="B50075DA">
      <w:numFmt w:val="decimal"/>
      <w:lvlText w:val=""/>
      <w:lvlJc w:val="left"/>
    </w:lvl>
    <w:lvl w:ilvl="8" w:tplc="97868EAE">
      <w:numFmt w:val="decimal"/>
      <w:lvlText w:val=""/>
      <w:lvlJc w:val="left"/>
    </w:lvl>
  </w:abstractNum>
  <w:abstractNum w:abstractNumId="1" w15:restartNumberingAfterBreak="0">
    <w:nsid w:val="3329780B"/>
    <w:multiLevelType w:val="hybridMultilevel"/>
    <w:tmpl w:val="FE92BBAC"/>
    <w:lvl w:ilvl="0" w:tplc="490E1E62">
      <w:start w:val="1"/>
      <w:numFmt w:val="bullet"/>
      <w:lvlText w:val="●"/>
      <w:lvlJc w:val="left"/>
      <w:pPr>
        <w:ind w:left="720" w:hanging="360"/>
      </w:pPr>
    </w:lvl>
    <w:lvl w:ilvl="1" w:tplc="FC784CA2">
      <w:start w:val="1"/>
      <w:numFmt w:val="bullet"/>
      <w:lvlText w:val="○"/>
      <w:lvlJc w:val="left"/>
      <w:pPr>
        <w:ind w:left="1440" w:hanging="360"/>
      </w:pPr>
    </w:lvl>
    <w:lvl w:ilvl="2" w:tplc="647C6A34">
      <w:start w:val="1"/>
      <w:numFmt w:val="bullet"/>
      <w:lvlText w:val="■"/>
      <w:lvlJc w:val="left"/>
      <w:pPr>
        <w:ind w:left="2160" w:hanging="360"/>
      </w:pPr>
    </w:lvl>
    <w:lvl w:ilvl="3" w:tplc="CFD6BDC0">
      <w:start w:val="1"/>
      <w:numFmt w:val="bullet"/>
      <w:lvlText w:val="●"/>
      <w:lvlJc w:val="left"/>
      <w:pPr>
        <w:ind w:left="2880" w:hanging="360"/>
      </w:pPr>
    </w:lvl>
    <w:lvl w:ilvl="4" w:tplc="EF16E662">
      <w:start w:val="1"/>
      <w:numFmt w:val="bullet"/>
      <w:lvlText w:val="○"/>
      <w:lvlJc w:val="left"/>
      <w:pPr>
        <w:ind w:left="3600" w:hanging="360"/>
      </w:pPr>
    </w:lvl>
    <w:lvl w:ilvl="5" w:tplc="E1F03128">
      <w:start w:val="1"/>
      <w:numFmt w:val="bullet"/>
      <w:lvlText w:val="■"/>
      <w:lvlJc w:val="left"/>
      <w:pPr>
        <w:ind w:left="4320" w:hanging="360"/>
      </w:pPr>
    </w:lvl>
    <w:lvl w:ilvl="6" w:tplc="12E648A0">
      <w:start w:val="1"/>
      <w:numFmt w:val="bullet"/>
      <w:lvlText w:val="●"/>
      <w:lvlJc w:val="left"/>
      <w:pPr>
        <w:ind w:left="5040" w:hanging="360"/>
      </w:pPr>
    </w:lvl>
    <w:lvl w:ilvl="7" w:tplc="942CE0E8">
      <w:start w:val="1"/>
      <w:numFmt w:val="bullet"/>
      <w:lvlText w:val="●"/>
      <w:lvlJc w:val="left"/>
      <w:pPr>
        <w:ind w:left="5760" w:hanging="360"/>
      </w:pPr>
    </w:lvl>
    <w:lvl w:ilvl="8" w:tplc="A9363120">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4A"/>
    <w:rsid w:val="0029653A"/>
    <w:rsid w:val="002D6FC0"/>
    <w:rsid w:val="004A3B2C"/>
    <w:rsid w:val="0056413B"/>
    <w:rsid w:val="005B7829"/>
    <w:rsid w:val="005E40F3"/>
    <w:rsid w:val="006004E1"/>
    <w:rsid w:val="007950FA"/>
    <w:rsid w:val="009C4A4A"/>
    <w:rsid w:val="00A220D9"/>
    <w:rsid w:val="00D16C11"/>
    <w:rsid w:val="00D951A6"/>
    <w:rsid w:val="00EF6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A877"/>
  <w15:docId w15:val="{BAFF6263-D50D-4C9C-B5EF-6B37EF28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81818"/>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20" w:after="180"/>
      <w:outlineLvl w:val="0"/>
    </w:pPr>
    <w:rPr>
      <w:b/>
      <w:bCs/>
      <w:color w:val="5A5A5A"/>
      <w:sz w:val="30"/>
      <w:szCs w:val="30"/>
    </w:rPr>
  </w:style>
  <w:style w:type="paragraph" w:styleId="berschrift2">
    <w:name w:val="heading 2"/>
    <w:uiPriority w:val="9"/>
    <w:semiHidden/>
    <w:unhideWhenUsed/>
    <w:qFormat/>
    <w:pPr>
      <w:spacing w:before="240" w:after="140"/>
      <w:outlineLvl w:val="1"/>
    </w:pPr>
    <w:rPr>
      <w:b/>
      <w:bCs/>
      <w:color w:val="5A5A5A"/>
      <w:sz w:val="25"/>
      <w:szCs w:val="25"/>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9056</Characters>
  <Application>Microsoft Office Word</Application>
  <DocSecurity>0</DocSecurity>
  <Lines>75</Lines>
  <Paragraphs>20</Paragraphs>
  <ScaleCrop>false</ScaleCrop>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Michaela Harbeck</cp:lastModifiedBy>
  <cp:revision>11</cp:revision>
  <dcterms:created xsi:type="dcterms:W3CDTF">2026-06-25T16:12:00Z</dcterms:created>
  <dcterms:modified xsi:type="dcterms:W3CDTF">2026-06-25T16:26:00Z</dcterms:modified>
</cp:coreProperties>
</file>